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FE3D" w14:textId="24E597B9" w:rsidR="00B002D2" w:rsidRPr="00B002D2" w:rsidRDefault="00B002D2" w:rsidP="00B002D2">
      <w:pPr>
        <w:jc w:val="center"/>
        <w:rPr>
          <w:b/>
          <w:bCs/>
        </w:rPr>
      </w:pPr>
      <w:r w:rsidRPr="00B002D2">
        <w:rPr>
          <w:b/>
          <w:bCs/>
        </w:rPr>
        <w:t>Uzasadnienie</w:t>
      </w:r>
    </w:p>
    <w:p w14:paraId="1B705650" w14:textId="112FF8C2" w:rsidR="00B002D2" w:rsidRPr="00B002D2" w:rsidRDefault="00B002D2" w:rsidP="00B002D2">
      <w:pPr>
        <w:jc w:val="center"/>
        <w:rPr>
          <w:b/>
          <w:bCs/>
        </w:rPr>
      </w:pPr>
      <w:r>
        <w:rPr>
          <w:b/>
          <w:bCs/>
        </w:rPr>
        <w:t>d</w:t>
      </w:r>
      <w:r w:rsidRPr="00B002D2">
        <w:rPr>
          <w:b/>
          <w:bCs/>
        </w:rPr>
        <w:t>o Uchwały nr</w:t>
      </w:r>
    </w:p>
    <w:p w14:paraId="1B2F6FA7" w14:textId="4488B7AC" w:rsidR="00B002D2" w:rsidRPr="00B002D2" w:rsidRDefault="00B002D2" w:rsidP="00B002D2">
      <w:pPr>
        <w:jc w:val="center"/>
        <w:rPr>
          <w:rFonts w:ascii="Times New Roman" w:hAnsi="Times New Roman" w:cs="Times New Roman"/>
        </w:rPr>
      </w:pPr>
      <w:r w:rsidRPr="00B002D2">
        <w:rPr>
          <w:rFonts w:ascii="Times New Roman" w:hAnsi="Times New Roman" w:cs="Times New Roman"/>
        </w:rPr>
        <w:t>Rady Gminy Chrzypsko Wielkie</w:t>
      </w:r>
    </w:p>
    <w:p w14:paraId="574F9856" w14:textId="1B3AEF1C" w:rsidR="00B002D2" w:rsidRPr="00B002D2" w:rsidRDefault="00C74219" w:rsidP="00B002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002D2" w:rsidRPr="00B002D2">
        <w:rPr>
          <w:rFonts w:ascii="Times New Roman" w:hAnsi="Times New Roman" w:cs="Times New Roman"/>
        </w:rPr>
        <w:t xml:space="preserve"> dnia 03 marca 2025 r.</w:t>
      </w:r>
    </w:p>
    <w:p w14:paraId="0D99DAD2" w14:textId="77777777" w:rsidR="00B002D2" w:rsidRDefault="00B002D2" w:rsidP="00B002D2">
      <w:pPr>
        <w:spacing w:after="0" w:line="276" w:lineRule="auto"/>
        <w:rPr>
          <w:rFonts w:ascii="Times New Roman" w:hAnsi="Times New Roman" w:cs="Times New Roman"/>
        </w:rPr>
      </w:pPr>
    </w:p>
    <w:p w14:paraId="63107831" w14:textId="659945DB" w:rsidR="00B32FF6" w:rsidRDefault="00B002D2" w:rsidP="00A176B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wejściem w życie </w:t>
      </w:r>
      <w:r w:rsidRPr="007A674A">
        <w:rPr>
          <w:rFonts w:ascii="Times New Roman" w:hAnsi="Times New Roman" w:cs="Times New Roman"/>
        </w:rPr>
        <w:t>rozporządzenia Komisji (UE) Nr 2023/2831 z dnia 13 grudnia 20</w:t>
      </w:r>
      <w:r w:rsidR="00A176B0">
        <w:rPr>
          <w:rFonts w:ascii="Times New Roman" w:hAnsi="Times New Roman" w:cs="Times New Roman"/>
        </w:rPr>
        <w:t>2</w:t>
      </w:r>
      <w:r w:rsidRPr="007A674A">
        <w:rPr>
          <w:rFonts w:ascii="Times New Roman" w:hAnsi="Times New Roman" w:cs="Times New Roman"/>
        </w:rPr>
        <w:t xml:space="preserve">3 r. w sprawie stosowania art.107 i 108 Traktatu o funkcjonowaniu Unii Europejskiej do pomocy de </w:t>
      </w:r>
      <w:proofErr w:type="spellStart"/>
      <w:r w:rsidRPr="007A674A">
        <w:rPr>
          <w:rFonts w:ascii="Times New Roman" w:hAnsi="Times New Roman" w:cs="Times New Roman"/>
        </w:rPr>
        <w:t>minimis</w:t>
      </w:r>
      <w:proofErr w:type="spellEnd"/>
      <w:r w:rsidRPr="007A674A">
        <w:rPr>
          <w:rFonts w:ascii="Times New Roman" w:hAnsi="Times New Roman" w:cs="Times New Roman"/>
        </w:rPr>
        <w:t xml:space="preserve"> (</w:t>
      </w:r>
      <w:proofErr w:type="spellStart"/>
      <w:r w:rsidRPr="007A674A">
        <w:rPr>
          <w:rFonts w:ascii="Times New Roman" w:hAnsi="Times New Roman" w:cs="Times New Roman"/>
        </w:rPr>
        <w:t>Dz.Urz.UE</w:t>
      </w:r>
      <w:proofErr w:type="spellEnd"/>
      <w:r w:rsidRPr="007A674A">
        <w:rPr>
          <w:rFonts w:ascii="Times New Roman" w:hAnsi="Times New Roman" w:cs="Times New Roman"/>
        </w:rPr>
        <w:t xml:space="preserve">, seria L , z 2023 r.poz.2831) </w:t>
      </w:r>
      <w:r>
        <w:rPr>
          <w:rFonts w:ascii="Times New Roman" w:hAnsi="Times New Roman" w:cs="Times New Roman"/>
        </w:rPr>
        <w:t xml:space="preserve"> zachodzi konieczność </w:t>
      </w:r>
      <w:r w:rsidR="00B32FF6">
        <w:rPr>
          <w:rFonts w:ascii="Times New Roman" w:hAnsi="Times New Roman" w:cs="Times New Roman"/>
        </w:rPr>
        <w:t>podjęcia Uchwały Rady Gminy Chrzypsko Wielkie</w:t>
      </w:r>
      <w:r w:rsidRPr="007A674A">
        <w:rPr>
          <w:rFonts w:ascii="Times New Roman" w:hAnsi="Times New Roman" w:cs="Times New Roman"/>
        </w:rPr>
        <w:t xml:space="preserve"> </w:t>
      </w:r>
      <w:r w:rsidR="00B32FF6" w:rsidRPr="00B32FF6">
        <w:rPr>
          <w:rFonts w:ascii="Times New Roman" w:hAnsi="Times New Roman" w:cs="Times New Roman"/>
        </w:rPr>
        <w:t>w sprawie</w:t>
      </w:r>
      <w:r w:rsidR="00B32FF6" w:rsidRPr="00B002D2">
        <w:rPr>
          <w:rFonts w:ascii="Times New Roman" w:hAnsi="Times New Roman" w:cs="Times New Roman"/>
        </w:rPr>
        <w:t xml:space="preserve"> określenia szczegółowych zasad, sposobu i trybu umarzania, odraczania terminu spłaty oraz rozkładania na raty należności pieniężnych o charakterze cywilnoprawnym, przypadających gminie Chrzypsko Wielkie lub jej jednostkom organizacyjnym, wskazanie organu do tego uprawnionego oraz warunków dopuszczalności pomocy publicznej.</w:t>
      </w:r>
    </w:p>
    <w:p w14:paraId="7452C2FB" w14:textId="3A663345" w:rsidR="00B002D2" w:rsidRPr="00B002D2" w:rsidRDefault="00B32FF6" w:rsidP="00A176B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art.7 ust.3 i 3</w:t>
      </w:r>
      <w:r w:rsidR="007818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ustawy z dnia 30 kwietnia 2004 r. o postępowaniu w sprawach dotyczących pomocy publicznej (Dz.U.2023 r. poz.702) projekt niniejszej uchwały został przedstawiony do zaopiniowania</w:t>
      </w:r>
      <w:r w:rsidR="00A176B0">
        <w:rPr>
          <w:rFonts w:ascii="Times New Roman" w:hAnsi="Times New Roman" w:cs="Times New Roman"/>
        </w:rPr>
        <w:t xml:space="preserve"> Prezesowi Urzędu Ochrony Konkurencji i Konsumentów oraz Ministrowi Rolnictwa i Rozwoju Wsi. Zastrzeżenia przedstawione przez w/w organy zostały uwzględnione w uchwale.</w:t>
      </w:r>
    </w:p>
    <w:sectPr w:rsidR="00B002D2" w:rsidRPr="00B0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D2"/>
    <w:rsid w:val="005A54F1"/>
    <w:rsid w:val="006049F7"/>
    <w:rsid w:val="0078188C"/>
    <w:rsid w:val="00A176B0"/>
    <w:rsid w:val="00B002D2"/>
    <w:rsid w:val="00B32FF6"/>
    <w:rsid w:val="00C74219"/>
    <w:rsid w:val="00D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529F"/>
  <w15:chartTrackingRefBased/>
  <w15:docId w15:val="{E772B3B3-8561-4027-888B-324B564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0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2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2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2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2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2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2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2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2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2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2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3</cp:revision>
  <cp:lastPrinted>2025-02-17T14:59:00Z</cp:lastPrinted>
  <dcterms:created xsi:type="dcterms:W3CDTF">2025-02-17T15:02:00Z</dcterms:created>
  <dcterms:modified xsi:type="dcterms:W3CDTF">2025-02-17T15:15:00Z</dcterms:modified>
</cp:coreProperties>
</file>