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47FC" w14:textId="03591541" w:rsidR="001D01F3" w:rsidRDefault="001D01F3" w:rsidP="001D01F3">
      <w:pPr>
        <w:rPr>
          <w:rFonts w:ascii="Times New Roman" w:hAnsi="Times New Roman" w:cs="Times New Roman"/>
          <w:b/>
          <w:bCs/>
        </w:rPr>
      </w:pPr>
      <w:r>
        <w:rPr>
          <w:rFonts w:ascii="Times New Roman" w:hAnsi="Times New Roman" w:cs="Times New Roman"/>
          <w:b/>
          <w:bCs/>
        </w:rPr>
        <w:t>PROJEKT</w:t>
      </w:r>
    </w:p>
    <w:p w14:paraId="3B897377" w14:textId="6478C617" w:rsidR="000C236E" w:rsidRPr="00071F91" w:rsidRDefault="00071F91" w:rsidP="00071F91">
      <w:pPr>
        <w:jc w:val="center"/>
        <w:rPr>
          <w:rFonts w:ascii="Times New Roman" w:hAnsi="Times New Roman" w:cs="Times New Roman"/>
          <w:b/>
          <w:bCs/>
        </w:rPr>
      </w:pPr>
      <w:r>
        <w:rPr>
          <w:rFonts w:ascii="Times New Roman" w:hAnsi="Times New Roman" w:cs="Times New Roman"/>
          <w:b/>
          <w:bCs/>
        </w:rPr>
        <w:t xml:space="preserve">     </w:t>
      </w:r>
      <w:r w:rsidR="005C799F">
        <w:rPr>
          <w:rFonts w:ascii="Times New Roman" w:hAnsi="Times New Roman" w:cs="Times New Roman"/>
          <w:b/>
          <w:bCs/>
        </w:rPr>
        <w:t xml:space="preserve">    </w:t>
      </w:r>
      <w:r w:rsidR="000C236E" w:rsidRPr="00071F91">
        <w:rPr>
          <w:rFonts w:ascii="Times New Roman" w:hAnsi="Times New Roman" w:cs="Times New Roman"/>
          <w:b/>
          <w:bCs/>
        </w:rPr>
        <w:t>UCHWAŁA NR …………RADY GMINY CHRZYPSKO WIELKIE</w:t>
      </w:r>
    </w:p>
    <w:p w14:paraId="5B945E93" w14:textId="599715CE" w:rsidR="000C236E" w:rsidRPr="00071F91" w:rsidRDefault="000C236E" w:rsidP="00071F91">
      <w:pPr>
        <w:jc w:val="center"/>
        <w:rPr>
          <w:rFonts w:ascii="Times New Roman" w:hAnsi="Times New Roman" w:cs="Times New Roman"/>
          <w:b/>
          <w:bCs/>
        </w:rPr>
      </w:pPr>
      <w:r w:rsidRPr="00071F91">
        <w:rPr>
          <w:rFonts w:ascii="Times New Roman" w:hAnsi="Times New Roman" w:cs="Times New Roman"/>
          <w:b/>
          <w:bCs/>
        </w:rPr>
        <w:t>z dnia …………………2024 r.</w:t>
      </w:r>
    </w:p>
    <w:p w14:paraId="083EE812" w14:textId="2A1F049A" w:rsidR="000C236E" w:rsidRPr="00071F91" w:rsidRDefault="000C236E" w:rsidP="00071F91">
      <w:pPr>
        <w:jc w:val="center"/>
        <w:rPr>
          <w:rFonts w:ascii="Times New Roman" w:hAnsi="Times New Roman" w:cs="Times New Roman"/>
          <w:b/>
          <w:bCs/>
        </w:rPr>
      </w:pPr>
      <w:r w:rsidRPr="00071F91">
        <w:rPr>
          <w:rFonts w:ascii="Times New Roman" w:hAnsi="Times New Roman" w:cs="Times New Roman"/>
          <w:b/>
          <w:bCs/>
        </w:rPr>
        <w:t>w sprawie szczegółowych warunków przyznawania i odpłatności za usługi opiekuńcze i specjalistyczne usługi opiekuńcze, z wyłączeniem specjalistycznych usług opiekuńczych dla osób z zaburzeniami psychicznymi, szczegółowe warunki częściowego lub całkowitego zwolnienia od</w:t>
      </w:r>
      <w:r w:rsidR="00071F91">
        <w:rPr>
          <w:rFonts w:ascii="Times New Roman" w:hAnsi="Times New Roman" w:cs="Times New Roman"/>
          <w:b/>
          <w:bCs/>
        </w:rPr>
        <w:t xml:space="preserve"> </w:t>
      </w:r>
      <w:r w:rsidRPr="00071F91">
        <w:rPr>
          <w:rFonts w:ascii="Times New Roman" w:hAnsi="Times New Roman" w:cs="Times New Roman"/>
          <w:b/>
          <w:bCs/>
        </w:rPr>
        <w:t>opłat, jak również tryb ich pobierania oraz szczegółowe warunki przyznawania usług sąsiedzkich, wymiar i zakres usług sąsiedzkich oraz sposób rozliczania</w:t>
      </w:r>
      <w:r w:rsidR="00902892">
        <w:rPr>
          <w:rFonts w:ascii="Times New Roman" w:hAnsi="Times New Roman" w:cs="Times New Roman"/>
          <w:b/>
          <w:bCs/>
        </w:rPr>
        <w:t xml:space="preserve"> i</w:t>
      </w:r>
      <w:r w:rsidRPr="00071F91">
        <w:rPr>
          <w:rFonts w:ascii="Times New Roman" w:hAnsi="Times New Roman" w:cs="Times New Roman"/>
          <w:b/>
          <w:bCs/>
        </w:rPr>
        <w:t xml:space="preserve"> wykonywania takich usług</w:t>
      </w:r>
      <w:r w:rsidR="00071F91">
        <w:rPr>
          <w:rFonts w:ascii="Times New Roman" w:hAnsi="Times New Roman" w:cs="Times New Roman"/>
          <w:b/>
          <w:bCs/>
        </w:rPr>
        <w:t xml:space="preserve">. </w:t>
      </w:r>
    </w:p>
    <w:p w14:paraId="7F08864C" w14:textId="03AFF5CE" w:rsidR="000C236E" w:rsidRPr="00071F91" w:rsidRDefault="000C236E" w:rsidP="00D44BFB">
      <w:pPr>
        <w:jc w:val="both"/>
        <w:rPr>
          <w:rFonts w:ascii="Times New Roman" w:hAnsi="Times New Roman" w:cs="Times New Roman"/>
        </w:rPr>
      </w:pPr>
      <w:r w:rsidRPr="00D44BFB">
        <w:rPr>
          <w:rFonts w:ascii="Times New Roman" w:hAnsi="Times New Roman" w:cs="Times New Roman"/>
        </w:rPr>
        <w:t>Na podstawie art. 18 ust. 2 pkt 15 ustawy z dnia 8 marca 1990 r. o samorzą</w:t>
      </w:r>
      <w:r w:rsidR="00784B07" w:rsidRPr="00D44BFB">
        <w:rPr>
          <w:rFonts w:ascii="Times New Roman" w:hAnsi="Times New Roman" w:cs="Times New Roman"/>
        </w:rPr>
        <w:t>dzie gminnym (</w:t>
      </w:r>
      <w:proofErr w:type="spellStart"/>
      <w:r w:rsidR="00784B07" w:rsidRPr="00D44BFB">
        <w:rPr>
          <w:rFonts w:ascii="Times New Roman" w:hAnsi="Times New Roman" w:cs="Times New Roman"/>
        </w:rPr>
        <w:t>t.j</w:t>
      </w:r>
      <w:proofErr w:type="spellEnd"/>
      <w:r w:rsidR="00784B07" w:rsidRPr="00D44BFB">
        <w:rPr>
          <w:rFonts w:ascii="Times New Roman" w:hAnsi="Times New Roman" w:cs="Times New Roman"/>
        </w:rPr>
        <w:t>. Dz. U. z 2024 r. poz. 609</w:t>
      </w:r>
      <w:r w:rsidRPr="00D44BFB">
        <w:rPr>
          <w:rFonts w:ascii="Times New Roman" w:hAnsi="Times New Roman" w:cs="Times New Roman"/>
        </w:rPr>
        <w:t xml:space="preserve"> z </w:t>
      </w:r>
      <w:proofErr w:type="spellStart"/>
      <w:r w:rsidRPr="00D44BFB">
        <w:rPr>
          <w:rFonts w:ascii="Times New Roman" w:hAnsi="Times New Roman" w:cs="Times New Roman"/>
        </w:rPr>
        <w:t>póź</w:t>
      </w:r>
      <w:proofErr w:type="spellEnd"/>
      <w:r w:rsidRPr="00D44BFB">
        <w:rPr>
          <w:rFonts w:ascii="Times New Roman" w:hAnsi="Times New Roman" w:cs="Times New Roman"/>
        </w:rPr>
        <w:t>. zm. ) art. 50 ust. 6, 6a ustawy z dnia 12 marca 2004 r. o pomoc</w:t>
      </w:r>
      <w:r w:rsidR="00D44BFB">
        <w:rPr>
          <w:rFonts w:ascii="Times New Roman" w:hAnsi="Times New Roman" w:cs="Times New Roman"/>
        </w:rPr>
        <w:t>y społecznej (</w:t>
      </w:r>
      <w:proofErr w:type="spellStart"/>
      <w:r w:rsidR="00D44BFB">
        <w:rPr>
          <w:rFonts w:ascii="Times New Roman" w:hAnsi="Times New Roman" w:cs="Times New Roman"/>
        </w:rPr>
        <w:t>t.j</w:t>
      </w:r>
      <w:proofErr w:type="spellEnd"/>
      <w:r w:rsidR="00D44BFB">
        <w:rPr>
          <w:rFonts w:ascii="Times New Roman" w:hAnsi="Times New Roman" w:cs="Times New Roman"/>
        </w:rPr>
        <w:t xml:space="preserve">. </w:t>
      </w:r>
      <w:r w:rsidR="00784B07" w:rsidRPr="00D44BFB">
        <w:rPr>
          <w:rFonts w:ascii="Times New Roman" w:hAnsi="Times New Roman" w:cs="Times New Roman"/>
        </w:rPr>
        <w:t>Dz. U. z 2024 r. poz. 1283</w:t>
      </w:r>
      <w:r w:rsidRPr="00D44BFB">
        <w:rPr>
          <w:rFonts w:ascii="Times New Roman" w:hAnsi="Times New Roman" w:cs="Times New Roman"/>
        </w:rPr>
        <w:t xml:space="preserve"> ze zm.), </w:t>
      </w:r>
      <w:r w:rsidRPr="00071F91">
        <w:rPr>
          <w:rFonts w:ascii="Times New Roman" w:hAnsi="Times New Roman" w:cs="Times New Roman"/>
        </w:rPr>
        <w:t>Rada Gminy Chrzypsko Wielkie uchwala co następuje:</w:t>
      </w:r>
    </w:p>
    <w:p w14:paraId="11820209" w14:textId="544C9E38" w:rsidR="000C236E" w:rsidRPr="00071F91" w:rsidRDefault="00C441F0" w:rsidP="00071F91">
      <w:pPr>
        <w:jc w:val="both"/>
        <w:rPr>
          <w:rFonts w:ascii="Times New Roman" w:hAnsi="Times New Roman" w:cs="Times New Roman"/>
        </w:rPr>
      </w:pPr>
      <w:r w:rsidRPr="00071F91">
        <w:rPr>
          <w:rFonts w:ascii="Times New Roman" w:hAnsi="Times New Roman" w:cs="Times New Roman"/>
          <w:b/>
          <w:bCs/>
        </w:rPr>
        <w:t>§1</w:t>
      </w:r>
      <w:r w:rsidRPr="00071F91">
        <w:rPr>
          <w:rFonts w:ascii="Times New Roman" w:hAnsi="Times New Roman" w:cs="Times New Roman"/>
        </w:rPr>
        <w:t>.</w:t>
      </w:r>
      <w:r w:rsidR="000C236E" w:rsidRPr="00071F91">
        <w:rPr>
          <w:rFonts w:ascii="Times New Roman" w:hAnsi="Times New Roman" w:cs="Times New Roman"/>
        </w:rPr>
        <w:t xml:space="preserve"> Uchwała reguluje:</w:t>
      </w:r>
    </w:p>
    <w:p w14:paraId="202A4F0A"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rPr>
        <w:t xml:space="preserve"> 1) szczegółowe warunki przyznania i odpłatności za usługi opiekuńcze i specjalistyczne usługi opiekuńcze, z wyłączeniem specjalistycznych usług opiekuńczych dla osób z zaburzeniami psychicznymi oraz szczegółowe warunki częściowego lub całkowitego zwolnienia od opłat, jak również trybu ich pobierania; </w:t>
      </w:r>
    </w:p>
    <w:p w14:paraId="7A73250A"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rPr>
        <w:t xml:space="preserve">2) szczegółowe warunki przyznawania usług sąsiedzkich, wymiar i zakres usług sąsiedzkich oraz sposób rozliczania wykonywania takich usług. </w:t>
      </w:r>
    </w:p>
    <w:p w14:paraId="3EEF6CAA"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b/>
          <w:bCs/>
        </w:rPr>
        <w:t>§ 2</w:t>
      </w:r>
      <w:r w:rsidRPr="00071F91">
        <w:rPr>
          <w:rFonts w:ascii="Times New Roman" w:hAnsi="Times New Roman" w:cs="Times New Roman"/>
        </w:rPr>
        <w:t>. Usługi opiekuńcze przyznawane są osobom spełniającym warunki określone w art. 50 ust. 1 i 2 ustawy o pomocy społecznej.</w:t>
      </w:r>
    </w:p>
    <w:p w14:paraId="7A51FA05"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b/>
          <w:bCs/>
        </w:rPr>
        <w:t xml:space="preserve"> § 3</w:t>
      </w:r>
      <w:r w:rsidRPr="00071F91">
        <w:rPr>
          <w:rFonts w:ascii="Times New Roman" w:hAnsi="Times New Roman" w:cs="Times New Roman"/>
        </w:rPr>
        <w:t>. 1. Koszt opłaty za jedną godzinę usług opiekuńczych, w tym usług sąsiedzkich określa się w wysokości 100 % minimalnej stawki godzinowej ustalonej w rozporządzeniu Rady Ministrów w sprawie wysokości minimalnego wynagrodzenia za pracę oraz wysokości minimalnej stawki godzinowej</w:t>
      </w:r>
    </w:p>
    <w:p w14:paraId="0BF2243B"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rPr>
        <w:t xml:space="preserve">2. Koszt opłaty za jedną godzinę specjalistycznych usług opiekuńczych określa się w wysokości 150% minimalnej stawki godzinowej ustalonej w rozporządzeniu Rady Ministrów w sprawie wysokości minimalnego wynagrodzenia za pracę oraz wysokości minimalnej stawki godzinowej. </w:t>
      </w:r>
    </w:p>
    <w:p w14:paraId="25314DD4" w14:textId="41CBEBDF" w:rsidR="00C441F0" w:rsidRPr="00071F91" w:rsidRDefault="000C236E" w:rsidP="00071F91">
      <w:pPr>
        <w:jc w:val="both"/>
        <w:rPr>
          <w:rFonts w:ascii="Times New Roman" w:hAnsi="Times New Roman" w:cs="Times New Roman"/>
        </w:rPr>
      </w:pPr>
      <w:r w:rsidRPr="00071F91">
        <w:rPr>
          <w:rFonts w:ascii="Times New Roman" w:hAnsi="Times New Roman" w:cs="Times New Roman"/>
        </w:rPr>
        <w:t>§ 4. 1. Osoby nie ponoszą opłaty za usługi, je</w:t>
      </w:r>
      <w:r w:rsidR="00D44BFB">
        <w:rPr>
          <w:rFonts w:ascii="Times New Roman" w:hAnsi="Times New Roman" w:cs="Times New Roman"/>
        </w:rPr>
        <w:t xml:space="preserve">żeli dochód </w:t>
      </w:r>
      <w:r w:rsidR="00D44BFB" w:rsidRPr="00996EDC">
        <w:rPr>
          <w:rFonts w:ascii="Times New Roman" w:hAnsi="Times New Roman" w:cs="Times New Roman"/>
        </w:rPr>
        <w:t>nie przekracza 250 %</w:t>
      </w:r>
      <w:r w:rsidRPr="00996EDC">
        <w:rPr>
          <w:rFonts w:ascii="Times New Roman" w:hAnsi="Times New Roman" w:cs="Times New Roman"/>
        </w:rPr>
        <w:t xml:space="preserve"> kryterium</w:t>
      </w:r>
      <w:r w:rsidRPr="00071F91">
        <w:rPr>
          <w:rFonts w:ascii="Times New Roman" w:hAnsi="Times New Roman" w:cs="Times New Roman"/>
        </w:rPr>
        <w:t xml:space="preserve"> dochodowego, o którym mowa w art. 8 ust. 1 pkt 1-2 ustawy o pomocy społecznej. </w:t>
      </w:r>
    </w:p>
    <w:p w14:paraId="23CD7C1B" w14:textId="77777777" w:rsidR="00C441F0" w:rsidRPr="00071F91" w:rsidRDefault="000C236E" w:rsidP="00071F91">
      <w:pPr>
        <w:jc w:val="both"/>
        <w:rPr>
          <w:rFonts w:ascii="Times New Roman" w:hAnsi="Times New Roman" w:cs="Times New Roman"/>
        </w:rPr>
      </w:pPr>
      <w:r w:rsidRPr="00071F91">
        <w:rPr>
          <w:rFonts w:ascii="Times New Roman" w:hAnsi="Times New Roman" w:cs="Times New Roman"/>
        </w:rPr>
        <w:t xml:space="preserve">2. Osoby, których dochód przekracza kryterium ustalone w ust. 1 ponoszą odpłatność w zależności od osiąganego dochodu ustalonego zgodnie z poniższą tabelą: </w:t>
      </w:r>
    </w:p>
    <w:tbl>
      <w:tblPr>
        <w:tblStyle w:val="Tabela-Siatka"/>
        <w:tblW w:w="0" w:type="auto"/>
        <w:tblLook w:val="04A0" w:firstRow="1" w:lastRow="0" w:firstColumn="1" w:lastColumn="0" w:noHBand="0" w:noVBand="1"/>
      </w:tblPr>
      <w:tblGrid>
        <w:gridCol w:w="2830"/>
        <w:gridCol w:w="3211"/>
        <w:gridCol w:w="3021"/>
      </w:tblGrid>
      <w:tr w:rsidR="00F35CE2" w:rsidRPr="00071F91" w14:paraId="3DAA8CFD" w14:textId="77777777" w:rsidTr="00F35CE2">
        <w:tc>
          <w:tcPr>
            <w:tcW w:w="2830" w:type="dxa"/>
            <w:vMerge w:val="restart"/>
          </w:tcPr>
          <w:p w14:paraId="09B10309" w14:textId="6CD17630" w:rsidR="00F35CE2" w:rsidRPr="00071F91" w:rsidRDefault="00A710B6" w:rsidP="00A710B6">
            <w:pPr>
              <w:jc w:val="center"/>
              <w:rPr>
                <w:rFonts w:ascii="Times New Roman" w:hAnsi="Times New Roman" w:cs="Times New Roman"/>
                <w:b/>
                <w:bCs/>
              </w:rPr>
            </w:pPr>
            <w:r>
              <w:rPr>
                <w:rFonts w:ascii="Times New Roman" w:hAnsi="Times New Roman" w:cs="Times New Roman"/>
                <w:b/>
                <w:bCs/>
              </w:rPr>
              <w:t>K</w:t>
            </w:r>
            <w:r w:rsidR="00F35CE2" w:rsidRPr="00071F91">
              <w:rPr>
                <w:rFonts w:ascii="Times New Roman" w:hAnsi="Times New Roman" w:cs="Times New Roman"/>
                <w:b/>
                <w:bCs/>
              </w:rPr>
              <w:t>ryterium</w:t>
            </w:r>
            <w:r>
              <w:rPr>
                <w:rFonts w:ascii="Times New Roman" w:hAnsi="Times New Roman" w:cs="Times New Roman"/>
                <w:b/>
                <w:bCs/>
              </w:rPr>
              <w:t xml:space="preserve"> </w:t>
            </w:r>
            <w:r w:rsidR="00F35CE2" w:rsidRPr="00071F91">
              <w:rPr>
                <w:rFonts w:ascii="Times New Roman" w:hAnsi="Times New Roman" w:cs="Times New Roman"/>
                <w:b/>
                <w:bCs/>
              </w:rPr>
              <w:t>dochodowe</w:t>
            </w:r>
            <w:r>
              <w:rPr>
                <w:rFonts w:ascii="Times New Roman" w:hAnsi="Times New Roman" w:cs="Times New Roman"/>
                <w:b/>
                <w:bCs/>
              </w:rPr>
              <w:t xml:space="preserve"> określonego w art. 8 ustawy o pomocy społecznej w %</w:t>
            </w:r>
          </w:p>
        </w:tc>
        <w:tc>
          <w:tcPr>
            <w:tcW w:w="6232" w:type="dxa"/>
            <w:gridSpan w:val="2"/>
          </w:tcPr>
          <w:p w14:paraId="104EE4C1" w14:textId="470BFAC4" w:rsidR="00F35CE2" w:rsidRPr="00071F91" w:rsidRDefault="00F35CE2" w:rsidP="00071F91">
            <w:pPr>
              <w:jc w:val="both"/>
              <w:rPr>
                <w:rFonts w:ascii="Times New Roman" w:hAnsi="Times New Roman" w:cs="Times New Roman"/>
                <w:b/>
                <w:bCs/>
              </w:rPr>
            </w:pPr>
            <w:r w:rsidRPr="00071F91">
              <w:rPr>
                <w:rFonts w:ascii="Times New Roman" w:hAnsi="Times New Roman" w:cs="Times New Roman"/>
                <w:b/>
                <w:bCs/>
              </w:rPr>
              <w:t>Wysokość odpłatności ( w % ) ustalona od kosztu opłaty za godzinę usług opiekuńczych</w:t>
            </w:r>
          </w:p>
        </w:tc>
      </w:tr>
      <w:tr w:rsidR="00F35CE2" w:rsidRPr="00071F91" w14:paraId="3A5BA011" w14:textId="77777777" w:rsidTr="00F35CE2">
        <w:tc>
          <w:tcPr>
            <w:tcW w:w="2830" w:type="dxa"/>
            <w:vMerge/>
          </w:tcPr>
          <w:p w14:paraId="52EFADAF" w14:textId="77777777" w:rsidR="00F35CE2" w:rsidRPr="00071F91" w:rsidRDefault="00F35CE2" w:rsidP="00071F91">
            <w:pPr>
              <w:jc w:val="both"/>
              <w:rPr>
                <w:rFonts w:ascii="Times New Roman" w:hAnsi="Times New Roman" w:cs="Times New Roman"/>
                <w:b/>
                <w:bCs/>
              </w:rPr>
            </w:pPr>
          </w:p>
        </w:tc>
        <w:tc>
          <w:tcPr>
            <w:tcW w:w="3211" w:type="dxa"/>
          </w:tcPr>
          <w:p w14:paraId="4FE7025E" w14:textId="7E1ACD82" w:rsidR="00A710B6" w:rsidRPr="00071F91" w:rsidRDefault="00F35CE2" w:rsidP="00071F91">
            <w:pPr>
              <w:jc w:val="both"/>
              <w:rPr>
                <w:rFonts w:ascii="Times New Roman" w:hAnsi="Times New Roman" w:cs="Times New Roman"/>
                <w:b/>
                <w:bCs/>
              </w:rPr>
            </w:pPr>
            <w:r w:rsidRPr="00071F91">
              <w:rPr>
                <w:rFonts w:ascii="Times New Roman" w:hAnsi="Times New Roman" w:cs="Times New Roman"/>
                <w:b/>
                <w:bCs/>
              </w:rPr>
              <w:t>Osoba samotnie gospodarująca</w:t>
            </w:r>
          </w:p>
        </w:tc>
        <w:tc>
          <w:tcPr>
            <w:tcW w:w="3021" w:type="dxa"/>
          </w:tcPr>
          <w:p w14:paraId="6C52AA49" w14:textId="45A19298" w:rsidR="00F35CE2" w:rsidRPr="00071F91" w:rsidRDefault="00F35CE2" w:rsidP="00071F91">
            <w:pPr>
              <w:jc w:val="both"/>
              <w:rPr>
                <w:rFonts w:ascii="Times New Roman" w:hAnsi="Times New Roman" w:cs="Times New Roman"/>
                <w:b/>
                <w:bCs/>
              </w:rPr>
            </w:pPr>
            <w:r w:rsidRPr="00071F91">
              <w:rPr>
                <w:rFonts w:ascii="Times New Roman" w:hAnsi="Times New Roman" w:cs="Times New Roman"/>
                <w:b/>
                <w:bCs/>
              </w:rPr>
              <w:t>Osoba w rodzinie</w:t>
            </w:r>
          </w:p>
        </w:tc>
      </w:tr>
      <w:tr w:rsidR="009B4753" w:rsidRPr="00071F91" w14:paraId="49E0CC42" w14:textId="77777777" w:rsidTr="00F35CE2">
        <w:tc>
          <w:tcPr>
            <w:tcW w:w="2830" w:type="dxa"/>
          </w:tcPr>
          <w:p w14:paraId="6818753B" w14:textId="486585C1" w:rsidR="009B4753" w:rsidRPr="00071F91" w:rsidRDefault="00F35CE2" w:rsidP="00071F91">
            <w:pPr>
              <w:jc w:val="both"/>
              <w:rPr>
                <w:rFonts w:ascii="Times New Roman" w:hAnsi="Times New Roman" w:cs="Times New Roman"/>
              </w:rPr>
            </w:pPr>
            <w:r w:rsidRPr="00071F91">
              <w:rPr>
                <w:rFonts w:ascii="Times New Roman" w:hAnsi="Times New Roman" w:cs="Times New Roman"/>
              </w:rPr>
              <w:t>Do 250% kryterium</w:t>
            </w:r>
          </w:p>
        </w:tc>
        <w:tc>
          <w:tcPr>
            <w:tcW w:w="3211" w:type="dxa"/>
          </w:tcPr>
          <w:p w14:paraId="0D563619" w14:textId="3B7463C2" w:rsidR="009B4753" w:rsidRPr="00071F91" w:rsidRDefault="00F35CE2" w:rsidP="00071F91">
            <w:pPr>
              <w:jc w:val="both"/>
              <w:rPr>
                <w:rFonts w:ascii="Times New Roman" w:hAnsi="Times New Roman" w:cs="Times New Roman"/>
              </w:rPr>
            </w:pPr>
            <w:r w:rsidRPr="00071F91">
              <w:rPr>
                <w:rFonts w:ascii="Times New Roman" w:hAnsi="Times New Roman" w:cs="Times New Roman"/>
              </w:rPr>
              <w:t>Nieodpłatnie</w:t>
            </w:r>
          </w:p>
        </w:tc>
        <w:tc>
          <w:tcPr>
            <w:tcW w:w="3021" w:type="dxa"/>
          </w:tcPr>
          <w:p w14:paraId="3F661282" w14:textId="05BC2C97" w:rsidR="009B4753" w:rsidRPr="00071F91" w:rsidRDefault="00F35CE2" w:rsidP="00071F91">
            <w:pPr>
              <w:jc w:val="both"/>
              <w:rPr>
                <w:rFonts w:ascii="Times New Roman" w:hAnsi="Times New Roman" w:cs="Times New Roman"/>
              </w:rPr>
            </w:pPr>
            <w:r w:rsidRPr="00071F91">
              <w:rPr>
                <w:rFonts w:ascii="Times New Roman" w:hAnsi="Times New Roman" w:cs="Times New Roman"/>
              </w:rPr>
              <w:t>Nieodpłatnie</w:t>
            </w:r>
          </w:p>
        </w:tc>
      </w:tr>
      <w:tr w:rsidR="009B4753" w:rsidRPr="00071F91" w14:paraId="6D971908" w14:textId="77777777" w:rsidTr="00F35CE2">
        <w:tc>
          <w:tcPr>
            <w:tcW w:w="2830" w:type="dxa"/>
          </w:tcPr>
          <w:p w14:paraId="5008E14F" w14:textId="3295C0D4" w:rsidR="009B4753" w:rsidRPr="00071F91" w:rsidRDefault="00DE0DD4" w:rsidP="00071F91">
            <w:pPr>
              <w:jc w:val="both"/>
              <w:rPr>
                <w:rFonts w:ascii="Times New Roman" w:hAnsi="Times New Roman" w:cs="Times New Roman"/>
              </w:rPr>
            </w:pPr>
            <w:r w:rsidRPr="00071F91">
              <w:rPr>
                <w:rFonts w:ascii="Times New Roman" w:hAnsi="Times New Roman" w:cs="Times New Roman"/>
              </w:rPr>
              <w:t>Powyżej 250% do 300%</w:t>
            </w:r>
          </w:p>
        </w:tc>
        <w:tc>
          <w:tcPr>
            <w:tcW w:w="3211" w:type="dxa"/>
          </w:tcPr>
          <w:p w14:paraId="7FB86BA9" w14:textId="1F9FD776" w:rsidR="009B4753" w:rsidRPr="00071F91" w:rsidRDefault="00C8362F" w:rsidP="00071F91">
            <w:pPr>
              <w:jc w:val="both"/>
              <w:rPr>
                <w:rFonts w:ascii="Times New Roman" w:hAnsi="Times New Roman" w:cs="Times New Roman"/>
              </w:rPr>
            </w:pPr>
            <w:r w:rsidRPr="00071F91">
              <w:rPr>
                <w:rFonts w:ascii="Times New Roman" w:hAnsi="Times New Roman" w:cs="Times New Roman"/>
              </w:rPr>
              <w:t>5%</w:t>
            </w:r>
          </w:p>
        </w:tc>
        <w:tc>
          <w:tcPr>
            <w:tcW w:w="3021" w:type="dxa"/>
          </w:tcPr>
          <w:p w14:paraId="61073C09" w14:textId="5F8060F2" w:rsidR="009B4753" w:rsidRPr="00071F91" w:rsidRDefault="00C8362F" w:rsidP="00071F91">
            <w:pPr>
              <w:jc w:val="both"/>
              <w:rPr>
                <w:rFonts w:ascii="Times New Roman" w:hAnsi="Times New Roman" w:cs="Times New Roman"/>
              </w:rPr>
            </w:pPr>
            <w:r w:rsidRPr="00071F91">
              <w:rPr>
                <w:rFonts w:ascii="Times New Roman" w:hAnsi="Times New Roman" w:cs="Times New Roman"/>
              </w:rPr>
              <w:t>10%</w:t>
            </w:r>
          </w:p>
        </w:tc>
      </w:tr>
      <w:tr w:rsidR="009B4753" w:rsidRPr="00071F91" w14:paraId="6021EE3A" w14:textId="77777777" w:rsidTr="00C8362F">
        <w:trPr>
          <w:trHeight w:val="304"/>
        </w:trPr>
        <w:tc>
          <w:tcPr>
            <w:tcW w:w="2830" w:type="dxa"/>
          </w:tcPr>
          <w:p w14:paraId="58A83A19" w14:textId="49EB8395" w:rsidR="009B4753" w:rsidRPr="00071F91" w:rsidRDefault="00A257D3" w:rsidP="00071F91">
            <w:pPr>
              <w:jc w:val="both"/>
              <w:rPr>
                <w:rFonts w:ascii="Times New Roman" w:hAnsi="Times New Roman" w:cs="Times New Roman"/>
              </w:rPr>
            </w:pPr>
            <w:r w:rsidRPr="00071F91">
              <w:rPr>
                <w:rFonts w:ascii="Times New Roman" w:hAnsi="Times New Roman" w:cs="Times New Roman"/>
              </w:rPr>
              <w:t xml:space="preserve">Powyżej </w:t>
            </w:r>
            <w:r w:rsidR="00C8362F" w:rsidRPr="00071F91">
              <w:rPr>
                <w:rFonts w:ascii="Times New Roman" w:hAnsi="Times New Roman" w:cs="Times New Roman"/>
              </w:rPr>
              <w:t>300% do 3</w:t>
            </w:r>
            <w:r w:rsidR="00A710B6">
              <w:rPr>
                <w:rFonts w:ascii="Times New Roman" w:hAnsi="Times New Roman" w:cs="Times New Roman"/>
              </w:rPr>
              <w:t>50</w:t>
            </w:r>
            <w:r w:rsidR="00C8362F" w:rsidRPr="00071F91">
              <w:rPr>
                <w:rFonts w:ascii="Times New Roman" w:hAnsi="Times New Roman" w:cs="Times New Roman"/>
              </w:rPr>
              <w:t>%</w:t>
            </w:r>
          </w:p>
        </w:tc>
        <w:tc>
          <w:tcPr>
            <w:tcW w:w="3211" w:type="dxa"/>
          </w:tcPr>
          <w:p w14:paraId="48C9A407" w14:textId="61C6592D" w:rsidR="009B4753" w:rsidRPr="00071F91" w:rsidRDefault="00C8362F" w:rsidP="00071F91">
            <w:pPr>
              <w:jc w:val="both"/>
              <w:rPr>
                <w:rFonts w:ascii="Times New Roman" w:hAnsi="Times New Roman" w:cs="Times New Roman"/>
              </w:rPr>
            </w:pPr>
            <w:r w:rsidRPr="00071F91">
              <w:rPr>
                <w:rFonts w:ascii="Times New Roman" w:hAnsi="Times New Roman" w:cs="Times New Roman"/>
              </w:rPr>
              <w:t>10%</w:t>
            </w:r>
          </w:p>
        </w:tc>
        <w:tc>
          <w:tcPr>
            <w:tcW w:w="3021" w:type="dxa"/>
          </w:tcPr>
          <w:p w14:paraId="7AA67D4D" w14:textId="112701FB" w:rsidR="009B4753" w:rsidRPr="00071F91" w:rsidRDefault="00C8362F" w:rsidP="00071F91">
            <w:pPr>
              <w:jc w:val="both"/>
              <w:rPr>
                <w:rFonts w:ascii="Times New Roman" w:hAnsi="Times New Roman" w:cs="Times New Roman"/>
              </w:rPr>
            </w:pPr>
            <w:r w:rsidRPr="00071F91">
              <w:rPr>
                <w:rFonts w:ascii="Times New Roman" w:hAnsi="Times New Roman" w:cs="Times New Roman"/>
              </w:rPr>
              <w:t>20%</w:t>
            </w:r>
          </w:p>
        </w:tc>
      </w:tr>
      <w:tr w:rsidR="009B4753" w:rsidRPr="00071F91" w14:paraId="46D7BB49" w14:textId="77777777" w:rsidTr="00F35CE2">
        <w:tc>
          <w:tcPr>
            <w:tcW w:w="2830" w:type="dxa"/>
          </w:tcPr>
          <w:p w14:paraId="10BD1FA2" w14:textId="16395022" w:rsidR="009B4753" w:rsidRPr="00071F91" w:rsidRDefault="00C8362F" w:rsidP="00071F91">
            <w:pPr>
              <w:jc w:val="both"/>
              <w:rPr>
                <w:rFonts w:ascii="Times New Roman" w:hAnsi="Times New Roman" w:cs="Times New Roman"/>
              </w:rPr>
            </w:pPr>
            <w:r w:rsidRPr="00071F91">
              <w:rPr>
                <w:rFonts w:ascii="Times New Roman" w:hAnsi="Times New Roman" w:cs="Times New Roman"/>
              </w:rPr>
              <w:t>Powyżej 3</w:t>
            </w:r>
            <w:r w:rsidR="00A710B6">
              <w:rPr>
                <w:rFonts w:ascii="Times New Roman" w:hAnsi="Times New Roman" w:cs="Times New Roman"/>
              </w:rPr>
              <w:t>50</w:t>
            </w:r>
            <w:r w:rsidRPr="00071F91">
              <w:rPr>
                <w:rFonts w:ascii="Times New Roman" w:hAnsi="Times New Roman" w:cs="Times New Roman"/>
              </w:rPr>
              <w:t>% do 400%</w:t>
            </w:r>
          </w:p>
        </w:tc>
        <w:tc>
          <w:tcPr>
            <w:tcW w:w="3211" w:type="dxa"/>
          </w:tcPr>
          <w:p w14:paraId="4273474B" w14:textId="5DDCB802" w:rsidR="009B4753" w:rsidRPr="00071F91" w:rsidRDefault="00C8362F" w:rsidP="00071F91">
            <w:pPr>
              <w:jc w:val="both"/>
              <w:rPr>
                <w:rFonts w:ascii="Times New Roman" w:hAnsi="Times New Roman" w:cs="Times New Roman"/>
              </w:rPr>
            </w:pPr>
            <w:r w:rsidRPr="00071F91">
              <w:rPr>
                <w:rFonts w:ascii="Times New Roman" w:hAnsi="Times New Roman" w:cs="Times New Roman"/>
              </w:rPr>
              <w:t>20%</w:t>
            </w:r>
          </w:p>
        </w:tc>
        <w:tc>
          <w:tcPr>
            <w:tcW w:w="3021" w:type="dxa"/>
          </w:tcPr>
          <w:p w14:paraId="5B82DFFC" w14:textId="769D3591" w:rsidR="009B4753" w:rsidRPr="00071F91" w:rsidRDefault="00C8362F" w:rsidP="00071F91">
            <w:pPr>
              <w:jc w:val="both"/>
              <w:rPr>
                <w:rFonts w:ascii="Times New Roman" w:hAnsi="Times New Roman" w:cs="Times New Roman"/>
              </w:rPr>
            </w:pPr>
            <w:r w:rsidRPr="00071F91">
              <w:rPr>
                <w:rFonts w:ascii="Times New Roman" w:hAnsi="Times New Roman" w:cs="Times New Roman"/>
              </w:rPr>
              <w:t>30%</w:t>
            </w:r>
          </w:p>
        </w:tc>
      </w:tr>
      <w:tr w:rsidR="009B4753" w:rsidRPr="00071F91" w14:paraId="095419FF" w14:textId="77777777" w:rsidTr="00F35CE2">
        <w:tc>
          <w:tcPr>
            <w:tcW w:w="2830" w:type="dxa"/>
          </w:tcPr>
          <w:p w14:paraId="5D38B935" w14:textId="6D24221B" w:rsidR="009B4753" w:rsidRPr="00071F91" w:rsidRDefault="00C8362F" w:rsidP="00071F91">
            <w:pPr>
              <w:jc w:val="both"/>
              <w:rPr>
                <w:rFonts w:ascii="Times New Roman" w:hAnsi="Times New Roman" w:cs="Times New Roman"/>
              </w:rPr>
            </w:pPr>
            <w:r w:rsidRPr="00071F91">
              <w:rPr>
                <w:rFonts w:ascii="Times New Roman" w:hAnsi="Times New Roman" w:cs="Times New Roman"/>
              </w:rPr>
              <w:t>Powyżej 4</w:t>
            </w:r>
            <w:r w:rsidR="00A710B6">
              <w:rPr>
                <w:rFonts w:ascii="Times New Roman" w:hAnsi="Times New Roman" w:cs="Times New Roman"/>
              </w:rPr>
              <w:t>50</w:t>
            </w:r>
            <w:r w:rsidRPr="00071F91">
              <w:rPr>
                <w:rFonts w:ascii="Times New Roman" w:hAnsi="Times New Roman" w:cs="Times New Roman"/>
              </w:rPr>
              <w:t>% do 500%</w:t>
            </w:r>
          </w:p>
        </w:tc>
        <w:tc>
          <w:tcPr>
            <w:tcW w:w="3211" w:type="dxa"/>
          </w:tcPr>
          <w:p w14:paraId="6426105A" w14:textId="57755089" w:rsidR="009B4753" w:rsidRPr="00071F91" w:rsidRDefault="00C8362F" w:rsidP="00071F91">
            <w:pPr>
              <w:jc w:val="both"/>
              <w:rPr>
                <w:rFonts w:ascii="Times New Roman" w:hAnsi="Times New Roman" w:cs="Times New Roman"/>
              </w:rPr>
            </w:pPr>
            <w:r w:rsidRPr="00071F91">
              <w:rPr>
                <w:rFonts w:ascii="Times New Roman" w:hAnsi="Times New Roman" w:cs="Times New Roman"/>
              </w:rPr>
              <w:t>30%</w:t>
            </w:r>
          </w:p>
        </w:tc>
        <w:tc>
          <w:tcPr>
            <w:tcW w:w="3021" w:type="dxa"/>
          </w:tcPr>
          <w:p w14:paraId="234E2E54" w14:textId="167DDE5E" w:rsidR="009B4753" w:rsidRPr="00071F91" w:rsidRDefault="00C8362F" w:rsidP="00071F91">
            <w:pPr>
              <w:jc w:val="both"/>
              <w:rPr>
                <w:rFonts w:ascii="Times New Roman" w:hAnsi="Times New Roman" w:cs="Times New Roman"/>
              </w:rPr>
            </w:pPr>
            <w:r w:rsidRPr="00071F91">
              <w:rPr>
                <w:rFonts w:ascii="Times New Roman" w:hAnsi="Times New Roman" w:cs="Times New Roman"/>
              </w:rPr>
              <w:t>40%</w:t>
            </w:r>
          </w:p>
        </w:tc>
      </w:tr>
      <w:tr w:rsidR="009B4753" w:rsidRPr="00071F91" w14:paraId="54AB6C1B" w14:textId="77777777" w:rsidTr="00F35CE2">
        <w:tc>
          <w:tcPr>
            <w:tcW w:w="2830" w:type="dxa"/>
          </w:tcPr>
          <w:p w14:paraId="7A75F811" w14:textId="7446CAE2" w:rsidR="009B4753" w:rsidRPr="00071F91" w:rsidRDefault="00C8362F" w:rsidP="00071F91">
            <w:pPr>
              <w:jc w:val="both"/>
              <w:rPr>
                <w:rFonts w:ascii="Times New Roman" w:hAnsi="Times New Roman" w:cs="Times New Roman"/>
              </w:rPr>
            </w:pPr>
            <w:r w:rsidRPr="00071F91">
              <w:rPr>
                <w:rFonts w:ascii="Times New Roman" w:hAnsi="Times New Roman" w:cs="Times New Roman"/>
              </w:rPr>
              <w:t>Powyżej 5</w:t>
            </w:r>
            <w:r w:rsidR="00A710B6">
              <w:rPr>
                <w:rFonts w:ascii="Times New Roman" w:hAnsi="Times New Roman" w:cs="Times New Roman"/>
              </w:rPr>
              <w:t>5</w:t>
            </w:r>
            <w:r w:rsidRPr="00071F91">
              <w:rPr>
                <w:rFonts w:ascii="Times New Roman" w:hAnsi="Times New Roman" w:cs="Times New Roman"/>
              </w:rPr>
              <w:t xml:space="preserve">0% do </w:t>
            </w:r>
            <w:r w:rsidR="00A710B6">
              <w:rPr>
                <w:rFonts w:ascii="Times New Roman" w:hAnsi="Times New Roman" w:cs="Times New Roman"/>
              </w:rPr>
              <w:t>6</w:t>
            </w:r>
            <w:r w:rsidRPr="00071F91">
              <w:rPr>
                <w:rFonts w:ascii="Times New Roman" w:hAnsi="Times New Roman" w:cs="Times New Roman"/>
              </w:rPr>
              <w:t>00%</w:t>
            </w:r>
          </w:p>
        </w:tc>
        <w:tc>
          <w:tcPr>
            <w:tcW w:w="3211" w:type="dxa"/>
          </w:tcPr>
          <w:p w14:paraId="1ABA995E" w14:textId="41D80FAD" w:rsidR="009B4753" w:rsidRPr="00071F91" w:rsidRDefault="00C8362F" w:rsidP="00071F91">
            <w:pPr>
              <w:jc w:val="both"/>
              <w:rPr>
                <w:rFonts w:ascii="Times New Roman" w:hAnsi="Times New Roman" w:cs="Times New Roman"/>
              </w:rPr>
            </w:pPr>
            <w:r w:rsidRPr="00071F91">
              <w:rPr>
                <w:rFonts w:ascii="Times New Roman" w:hAnsi="Times New Roman" w:cs="Times New Roman"/>
              </w:rPr>
              <w:t>40%</w:t>
            </w:r>
          </w:p>
        </w:tc>
        <w:tc>
          <w:tcPr>
            <w:tcW w:w="3021" w:type="dxa"/>
          </w:tcPr>
          <w:p w14:paraId="039A61ED" w14:textId="1489BFEC" w:rsidR="009B4753" w:rsidRPr="00071F91" w:rsidRDefault="00C8362F" w:rsidP="00071F91">
            <w:pPr>
              <w:jc w:val="both"/>
              <w:rPr>
                <w:rFonts w:ascii="Times New Roman" w:hAnsi="Times New Roman" w:cs="Times New Roman"/>
              </w:rPr>
            </w:pPr>
            <w:r w:rsidRPr="00071F91">
              <w:rPr>
                <w:rFonts w:ascii="Times New Roman" w:hAnsi="Times New Roman" w:cs="Times New Roman"/>
              </w:rPr>
              <w:t>50%</w:t>
            </w:r>
          </w:p>
        </w:tc>
      </w:tr>
      <w:tr w:rsidR="00C8362F" w:rsidRPr="00071F91" w14:paraId="5524BBBC" w14:textId="77777777" w:rsidTr="00F35CE2">
        <w:tc>
          <w:tcPr>
            <w:tcW w:w="2830" w:type="dxa"/>
          </w:tcPr>
          <w:p w14:paraId="3474E7E2" w14:textId="32E9B79B" w:rsidR="00C8362F" w:rsidRPr="00071F91" w:rsidRDefault="00C8362F" w:rsidP="00071F91">
            <w:pPr>
              <w:jc w:val="both"/>
              <w:rPr>
                <w:rFonts w:ascii="Times New Roman" w:hAnsi="Times New Roman" w:cs="Times New Roman"/>
              </w:rPr>
            </w:pPr>
            <w:r w:rsidRPr="00071F91">
              <w:rPr>
                <w:rFonts w:ascii="Times New Roman" w:hAnsi="Times New Roman" w:cs="Times New Roman"/>
              </w:rPr>
              <w:t xml:space="preserve">Powyżej </w:t>
            </w:r>
            <w:r w:rsidR="00A710B6">
              <w:rPr>
                <w:rFonts w:ascii="Times New Roman" w:hAnsi="Times New Roman" w:cs="Times New Roman"/>
              </w:rPr>
              <w:t>6</w:t>
            </w:r>
            <w:r w:rsidRPr="00071F91">
              <w:rPr>
                <w:rFonts w:ascii="Times New Roman" w:hAnsi="Times New Roman" w:cs="Times New Roman"/>
              </w:rPr>
              <w:t>00%</w:t>
            </w:r>
          </w:p>
        </w:tc>
        <w:tc>
          <w:tcPr>
            <w:tcW w:w="3211" w:type="dxa"/>
          </w:tcPr>
          <w:p w14:paraId="03F09D06" w14:textId="01C03F94" w:rsidR="00C8362F" w:rsidRPr="00071F91" w:rsidRDefault="00C8362F" w:rsidP="00071F91">
            <w:pPr>
              <w:jc w:val="both"/>
              <w:rPr>
                <w:rFonts w:ascii="Times New Roman" w:hAnsi="Times New Roman" w:cs="Times New Roman"/>
              </w:rPr>
            </w:pPr>
            <w:r w:rsidRPr="00071F91">
              <w:rPr>
                <w:rFonts w:ascii="Times New Roman" w:hAnsi="Times New Roman" w:cs="Times New Roman"/>
              </w:rPr>
              <w:t>100%</w:t>
            </w:r>
          </w:p>
        </w:tc>
        <w:tc>
          <w:tcPr>
            <w:tcW w:w="3021" w:type="dxa"/>
          </w:tcPr>
          <w:p w14:paraId="40C4B371" w14:textId="706F42E5" w:rsidR="00C8362F" w:rsidRPr="00071F91" w:rsidRDefault="00C8362F" w:rsidP="00071F91">
            <w:pPr>
              <w:jc w:val="both"/>
              <w:rPr>
                <w:rFonts w:ascii="Times New Roman" w:hAnsi="Times New Roman" w:cs="Times New Roman"/>
              </w:rPr>
            </w:pPr>
            <w:r w:rsidRPr="00071F91">
              <w:rPr>
                <w:rFonts w:ascii="Times New Roman" w:hAnsi="Times New Roman" w:cs="Times New Roman"/>
              </w:rPr>
              <w:t>100%</w:t>
            </w:r>
          </w:p>
        </w:tc>
      </w:tr>
    </w:tbl>
    <w:p w14:paraId="4609CBE9" w14:textId="77777777" w:rsidR="00C441F0" w:rsidRPr="00071F91" w:rsidRDefault="00C441F0" w:rsidP="00071F91">
      <w:pPr>
        <w:jc w:val="both"/>
        <w:rPr>
          <w:rFonts w:ascii="Times New Roman" w:hAnsi="Times New Roman" w:cs="Times New Roman"/>
        </w:rPr>
      </w:pPr>
    </w:p>
    <w:p w14:paraId="3E944F91" w14:textId="77777777" w:rsidR="00C441F0" w:rsidRPr="00071F91" w:rsidRDefault="00C441F0" w:rsidP="00071F91">
      <w:pPr>
        <w:jc w:val="both"/>
        <w:rPr>
          <w:rFonts w:ascii="Times New Roman" w:hAnsi="Times New Roman" w:cs="Times New Roman"/>
        </w:rPr>
      </w:pPr>
    </w:p>
    <w:p w14:paraId="4E318660" w14:textId="100BB0D4" w:rsidR="00721E69" w:rsidRPr="00071F91" w:rsidRDefault="000C236E" w:rsidP="00071F91">
      <w:pPr>
        <w:jc w:val="both"/>
        <w:rPr>
          <w:rFonts w:ascii="Times New Roman" w:hAnsi="Times New Roman" w:cs="Times New Roman"/>
        </w:rPr>
      </w:pPr>
      <w:r w:rsidRPr="00071F91">
        <w:rPr>
          <w:rFonts w:ascii="Times New Roman" w:hAnsi="Times New Roman" w:cs="Times New Roman"/>
          <w:b/>
          <w:bCs/>
        </w:rPr>
        <w:t>§ 5</w:t>
      </w:r>
      <w:r w:rsidRPr="00071F91">
        <w:rPr>
          <w:rFonts w:ascii="Times New Roman" w:hAnsi="Times New Roman" w:cs="Times New Roman"/>
        </w:rPr>
        <w:t>. 1. W szczególnie uzasadnionych przypadkach, Kierownik Ośrodka Pomocy Społecznej może częściowo lub całkowicie zwolnić z ponoszenia opłat za usługi opiekuńcze, specjalistyczne usługi opiekuńcze oraz usługi sąsiedzkie.</w:t>
      </w:r>
    </w:p>
    <w:p w14:paraId="6E619438"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 2. Całkowite zwolnienie z opłat przysługuje w przypadku: </w:t>
      </w:r>
    </w:p>
    <w:p w14:paraId="3B64A570"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1) korzystania z usług opiekuńczych przez więcej niż jedną osobę w rodzinie</w:t>
      </w:r>
    </w:p>
    <w:p w14:paraId="64EA1DAC"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 2) ponoszenia odpłatności za pobyt członka rodziny w domu pomocy społecznej, placówce wychowawczej, rehabilitacyjnej bądź leczniczej. </w:t>
      </w:r>
    </w:p>
    <w:p w14:paraId="6B99759F"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3. Częściowe zwolnienie z opłat przysługuje w przypadku:</w:t>
      </w:r>
    </w:p>
    <w:p w14:paraId="7F0A8D56"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 1) korzystania z usług opiekuńczych w wymiarze przekraczającym 4 godziny dziennie, </w:t>
      </w:r>
    </w:p>
    <w:p w14:paraId="0662A122"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2) konieczność ponoszenia niezbędnych wydatków na leki, leczenie, rehabilitację oraz potrzeby mieszkaniowe przewyższające 50% ich dochodu , </w:t>
      </w:r>
    </w:p>
    <w:p w14:paraId="7AA40642" w14:textId="77777777" w:rsidR="009C0530" w:rsidRPr="00071F91" w:rsidRDefault="000C236E" w:rsidP="00071F91">
      <w:pPr>
        <w:jc w:val="both"/>
        <w:rPr>
          <w:rFonts w:ascii="Times New Roman" w:hAnsi="Times New Roman" w:cs="Times New Roman"/>
        </w:rPr>
      </w:pPr>
      <w:r w:rsidRPr="00071F91">
        <w:rPr>
          <w:rFonts w:ascii="Times New Roman" w:hAnsi="Times New Roman" w:cs="Times New Roman"/>
        </w:rPr>
        <w:t xml:space="preserve">3) wystąpienia zdarzenia losowego, powodującego znaczne pogorszenie sytuacji materialnej, </w:t>
      </w:r>
    </w:p>
    <w:p w14:paraId="06C26DD3" w14:textId="2AF4566B" w:rsidR="00BA2155" w:rsidRPr="00071F91" w:rsidRDefault="000C236E" w:rsidP="00071F91">
      <w:pPr>
        <w:jc w:val="both"/>
        <w:rPr>
          <w:rFonts w:ascii="Times New Roman" w:hAnsi="Times New Roman" w:cs="Times New Roman"/>
        </w:rPr>
      </w:pPr>
      <w:r w:rsidRPr="00071F91">
        <w:rPr>
          <w:rFonts w:ascii="Times New Roman" w:hAnsi="Times New Roman" w:cs="Times New Roman"/>
        </w:rPr>
        <w:t>4) posiadania całkowitej niezdolności do pracy i samodzielnej egzystencji.</w:t>
      </w:r>
    </w:p>
    <w:p w14:paraId="37EBA005"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b/>
          <w:bCs/>
        </w:rPr>
        <w:t xml:space="preserve"> § 6.</w:t>
      </w:r>
      <w:r w:rsidRPr="00071F91">
        <w:rPr>
          <w:rFonts w:ascii="Times New Roman" w:hAnsi="Times New Roman" w:cs="Times New Roman"/>
        </w:rPr>
        <w:t xml:space="preserve"> 1. Zakres usług sąsiedzkich obejmować będzie pomoc w zaspokajaniu podstawowych potrzeb życiowych, podstawową opiekę higieniczno-pielęgnacyjną, przez którą należy rozumieć formy wsparcia niewymagające specjalistycznej wiedzy i kompetencji oraz, w miarę potrzeb i możliwości, zapewnienie kontaktów z otoczeniem. </w:t>
      </w:r>
    </w:p>
    <w:p w14:paraId="338A9672" w14:textId="77777777" w:rsidR="009C0530" w:rsidRPr="00071F91" w:rsidRDefault="000C236E" w:rsidP="00071F91">
      <w:pPr>
        <w:jc w:val="both"/>
        <w:rPr>
          <w:rFonts w:ascii="Times New Roman" w:hAnsi="Times New Roman" w:cs="Times New Roman"/>
        </w:rPr>
      </w:pPr>
      <w:r w:rsidRPr="00071F91">
        <w:rPr>
          <w:rFonts w:ascii="Times New Roman" w:hAnsi="Times New Roman" w:cs="Times New Roman"/>
        </w:rPr>
        <w:t>2. Usługi sąsiedzkie mogą być przyznane jako wyłączna forma usług opiekuńczych.</w:t>
      </w:r>
    </w:p>
    <w:p w14:paraId="2D555D17" w14:textId="01910572"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 3. Usługi sąsiedzkie przyznaje się w wymiarze nieprzekraczającym 14 godzin w tygodniu. </w:t>
      </w:r>
    </w:p>
    <w:p w14:paraId="584DDAFF" w14:textId="77777777" w:rsidR="00BA2155" w:rsidRPr="00071F91" w:rsidRDefault="000C236E" w:rsidP="00071F91">
      <w:pPr>
        <w:jc w:val="both"/>
        <w:rPr>
          <w:rFonts w:ascii="Times New Roman" w:hAnsi="Times New Roman" w:cs="Times New Roman"/>
        </w:rPr>
      </w:pPr>
      <w:r w:rsidRPr="00071F91">
        <w:rPr>
          <w:rFonts w:ascii="Times New Roman" w:hAnsi="Times New Roman" w:cs="Times New Roman"/>
          <w:b/>
          <w:bCs/>
        </w:rPr>
        <w:t>§ 7</w:t>
      </w:r>
      <w:r w:rsidRPr="00071F91">
        <w:rPr>
          <w:rFonts w:ascii="Times New Roman" w:hAnsi="Times New Roman" w:cs="Times New Roman"/>
        </w:rPr>
        <w:t xml:space="preserve">. Rozliczenie wykonania usług następuje poprzez złożenie przez osobę świadczącą usługi dokumentu zawierającego zestawienie zrealizowanych usług. Zestawienie musi zawierać wskazany czas wykonywanych usług, łączną liczbę zrealizowanych godzin, datę, podpis osoby wykonującej usługi oraz podpisy osoby wymagającej usług lub pracownika socjalnego. </w:t>
      </w:r>
    </w:p>
    <w:p w14:paraId="0629937B" w14:textId="79A0D08D" w:rsidR="00BA2155" w:rsidRPr="00071F91" w:rsidRDefault="000C236E" w:rsidP="00071F91">
      <w:pPr>
        <w:jc w:val="both"/>
        <w:rPr>
          <w:rFonts w:ascii="Times New Roman" w:hAnsi="Times New Roman" w:cs="Times New Roman"/>
        </w:rPr>
      </w:pPr>
      <w:r w:rsidRPr="00071F91">
        <w:rPr>
          <w:rFonts w:ascii="Times New Roman" w:hAnsi="Times New Roman" w:cs="Times New Roman"/>
          <w:b/>
          <w:bCs/>
        </w:rPr>
        <w:t>§ 8.</w:t>
      </w:r>
      <w:r w:rsidRPr="00071F91">
        <w:rPr>
          <w:rFonts w:ascii="Times New Roman" w:hAnsi="Times New Roman" w:cs="Times New Roman"/>
        </w:rPr>
        <w:t xml:space="preserve"> Opłata za usługi wnoszona jest na wskazany w decyzji rachunek bankowy Ośrodka Pomocy Społecznej w </w:t>
      </w:r>
      <w:r w:rsidR="009364BB">
        <w:rPr>
          <w:rFonts w:ascii="Times New Roman" w:hAnsi="Times New Roman" w:cs="Times New Roman"/>
        </w:rPr>
        <w:t xml:space="preserve">Chrzypsku Wielkim </w:t>
      </w:r>
      <w:r w:rsidRPr="00071F91">
        <w:rPr>
          <w:rFonts w:ascii="Times New Roman" w:hAnsi="Times New Roman" w:cs="Times New Roman"/>
        </w:rPr>
        <w:t xml:space="preserve">rozliczeniach miesięcznych przez osobę korzystającą z usług. </w:t>
      </w:r>
    </w:p>
    <w:p w14:paraId="189EAB63" w14:textId="35A82535" w:rsidR="009C0530" w:rsidRPr="00071F91" w:rsidRDefault="000C236E" w:rsidP="00071F91">
      <w:pPr>
        <w:jc w:val="both"/>
        <w:rPr>
          <w:rFonts w:ascii="Times New Roman" w:hAnsi="Times New Roman" w:cs="Times New Roman"/>
        </w:rPr>
      </w:pPr>
      <w:r w:rsidRPr="00071F91">
        <w:rPr>
          <w:rFonts w:ascii="Times New Roman" w:hAnsi="Times New Roman" w:cs="Times New Roman"/>
          <w:b/>
          <w:bCs/>
        </w:rPr>
        <w:t>§ 9</w:t>
      </w:r>
      <w:r w:rsidR="00071F91" w:rsidRPr="00071F91">
        <w:rPr>
          <w:rFonts w:ascii="Times New Roman" w:hAnsi="Times New Roman" w:cs="Times New Roman"/>
          <w:b/>
          <w:bCs/>
        </w:rPr>
        <w:t xml:space="preserve">. </w:t>
      </w:r>
      <w:r w:rsidR="00071F91" w:rsidRPr="00071F91">
        <w:rPr>
          <w:rStyle w:val="size"/>
          <w:rFonts w:ascii="Times New Roman" w:hAnsi="Times New Roman" w:cs="Times New Roman"/>
        </w:rPr>
        <w:t xml:space="preserve">Traci moc uchwała NR IV/14/2015 Rady Gminy Chrzypsko Wielkie z dnia 16 lutego 2015 r. </w:t>
      </w:r>
      <w:r w:rsidR="00071F91">
        <w:rPr>
          <w:rStyle w:val="size"/>
          <w:rFonts w:ascii="Times New Roman" w:hAnsi="Times New Roman" w:cs="Times New Roman"/>
        </w:rPr>
        <w:br/>
      </w:r>
      <w:r w:rsidR="00071F91" w:rsidRPr="00071F91">
        <w:rPr>
          <w:rStyle w:val="size"/>
          <w:rFonts w:ascii="Times New Roman" w:hAnsi="Times New Roman" w:cs="Times New Roman"/>
        </w:rPr>
        <w:t>w sprawie określenia szczegółowych warunków przyznawania i odpłatności za usługi opiekuńcze</w:t>
      </w:r>
      <w:r w:rsidR="00071F91">
        <w:rPr>
          <w:rStyle w:val="size"/>
          <w:rFonts w:ascii="Times New Roman" w:hAnsi="Times New Roman" w:cs="Times New Roman"/>
        </w:rPr>
        <w:br/>
      </w:r>
      <w:r w:rsidR="00071F91" w:rsidRPr="00071F91">
        <w:rPr>
          <w:rStyle w:val="size"/>
          <w:rFonts w:ascii="Times New Roman" w:hAnsi="Times New Roman" w:cs="Times New Roman"/>
        </w:rPr>
        <w:t xml:space="preserve"> i specjalistyczne usługi opiekuńcze, z wyłączeniem specjalistycznych usług opiekuńczych dla osób </w:t>
      </w:r>
      <w:r w:rsidR="00071F91">
        <w:rPr>
          <w:rStyle w:val="size"/>
          <w:rFonts w:ascii="Times New Roman" w:hAnsi="Times New Roman" w:cs="Times New Roman"/>
        </w:rPr>
        <w:br/>
        <w:t xml:space="preserve"> </w:t>
      </w:r>
      <w:r w:rsidR="00071F91" w:rsidRPr="00071F91">
        <w:rPr>
          <w:rStyle w:val="size"/>
          <w:rFonts w:ascii="Times New Roman" w:hAnsi="Times New Roman" w:cs="Times New Roman"/>
        </w:rPr>
        <w:t>z zaburzeniami psychicznymi i szczegółowych warunków częściowego lub całkowitego zwolnienia</w:t>
      </w:r>
      <w:r w:rsidR="00071F91">
        <w:rPr>
          <w:rStyle w:val="size"/>
          <w:rFonts w:ascii="Times New Roman" w:hAnsi="Times New Roman" w:cs="Times New Roman"/>
        </w:rPr>
        <w:br/>
      </w:r>
      <w:r w:rsidR="00071F91" w:rsidRPr="00071F91">
        <w:rPr>
          <w:rStyle w:val="size"/>
          <w:rFonts w:ascii="Times New Roman" w:hAnsi="Times New Roman" w:cs="Times New Roman"/>
        </w:rPr>
        <w:t xml:space="preserve"> od opłat, jak również trybu ich pobierania oraz zasady zwrotu wydatków za świadczenia z pomocy </w:t>
      </w:r>
      <w:r w:rsidR="00071F91">
        <w:rPr>
          <w:rStyle w:val="size"/>
          <w:rFonts w:ascii="Times New Roman" w:hAnsi="Times New Roman" w:cs="Times New Roman"/>
        </w:rPr>
        <w:t xml:space="preserve">  </w:t>
      </w:r>
      <w:r w:rsidR="00D44BFB">
        <w:rPr>
          <w:rStyle w:val="size"/>
          <w:rFonts w:ascii="Times New Roman" w:hAnsi="Times New Roman" w:cs="Times New Roman"/>
        </w:rPr>
        <w:t>społecznej.</w:t>
      </w:r>
    </w:p>
    <w:p w14:paraId="24F99CAC" w14:textId="77777777" w:rsidR="00E66993" w:rsidRDefault="000C236E" w:rsidP="00071F91">
      <w:pPr>
        <w:jc w:val="both"/>
        <w:rPr>
          <w:rFonts w:ascii="Times New Roman" w:hAnsi="Times New Roman" w:cs="Times New Roman"/>
        </w:rPr>
      </w:pPr>
      <w:r w:rsidRPr="00D44BFB">
        <w:rPr>
          <w:rFonts w:ascii="Times New Roman" w:hAnsi="Times New Roman" w:cs="Times New Roman"/>
          <w:b/>
        </w:rPr>
        <w:t>§</w:t>
      </w:r>
      <w:r w:rsidR="00071F91" w:rsidRPr="00D44BFB">
        <w:rPr>
          <w:rFonts w:ascii="Times New Roman" w:hAnsi="Times New Roman" w:cs="Times New Roman"/>
          <w:b/>
        </w:rPr>
        <w:t xml:space="preserve"> 10.</w:t>
      </w:r>
      <w:r w:rsidR="00071F91">
        <w:rPr>
          <w:rFonts w:ascii="Times New Roman" w:hAnsi="Times New Roman" w:cs="Times New Roman"/>
        </w:rPr>
        <w:t xml:space="preserve"> </w:t>
      </w:r>
      <w:r w:rsidR="00D44BFB">
        <w:rPr>
          <w:rFonts w:ascii="Times New Roman" w:hAnsi="Times New Roman" w:cs="Times New Roman"/>
        </w:rPr>
        <w:t xml:space="preserve"> </w:t>
      </w:r>
      <w:r w:rsidRPr="00071F91">
        <w:rPr>
          <w:rFonts w:ascii="Times New Roman" w:hAnsi="Times New Roman" w:cs="Times New Roman"/>
        </w:rPr>
        <w:t xml:space="preserve">Wykonanie uchwały powierza się Wójtowi Gminy </w:t>
      </w:r>
      <w:r w:rsidR="00BA2155" w:rsidRPr="00071F91">
        <w:rPr>
          <w:rFonts w:ascii="Times New Roman" w:hAnsi="Times New Roman" w:cs="Times New Roman"/>
        </w:rPr>
        <w:t>Chrzypsko Wielkie</w:t>
      </w:r>
      <w:r w:rsidRPr="00071F91">
        <w:rPr>
          <w:rFonts w:ascii="Times New Roman" w:hAnsi="Times New Roman" w:cs="Times New Roman"/>
        </w:rPr>
        <w:t xml:space="preserve">. </w:t>
      </w:r>
    </w:p>
    <w:p w14:paraId="3C3F3040" w14:textId="0A34C1C0" w:rsidR="00BA2155" w:rsidRDefault="00BA2155" w:rsidP="00071F91">
      <w:pPr>
        <w:jc w:val="both"/>
        <w:rPr>
          <w:rFonts w:ascii="Times New Roman" w:hAnsi="Times New Roman" w:cs="Times New Roman"/>
        </w:rPr>
      </w:pPr>
      <w:r w:rsidRPr="00071F91">
        <w:rPr>
          <w:rFonts w:ascii="Times New Roman" w:hAnsi="Times New Roman" w:cs="Times New Roman"/>
        </w:rPr>
        <w:br/>
      </w:r>
      <w:r w:rsidR="000C236E" w:rsidRPr="00071F91">
        <w:rPr>
          <w:rFonts w:ascii="Times New Roman" w:hAnsi="Times New Roman" w:cs="Times New Roman"/>
          <w:b/>
          <w:bCs/>
        </w:rPr>
        <w:t>§ 11</w:t>
      </w:r>
      <w:r w:rsidR="000C236E" w:rsidRPr="00071F91">
        <w:rPr>
          <w:rFonts w:ascii="Times New Roman" w:hAnsi="Times New Roman" w:cs="Times New Roman"/>
        </w:rPr>
        <w:t xml:space="preserve">. Uchwała wchodzi w życie po upływie 14 dni od dnia ogłoszenia w Dzienniku Urzędowym Województwa Wielkopolskiego. </w:t>
      </w:r>
    </w:p>
    <w:p w14:paraId="766B07ED" w14:textId="77777777" w:rsidR="00D44BFB" w:rsidRDefault="00D44BFB" w:rsidP="00071F91">
      <w:pPr>
        <w:jc w:val="both"/>
        <w:rPr>
          <w:rFonts w:ascii="Times New Roman" w:hAnsi="Times New Roman" w:cs="Times New Roman"/>
        </w:rPr>
      </w:pPr>
    </w:p>
    <w:p w14:paraId="62F497CA" w14:textId="77777777" w:rsidR="00D44BFB" w:rsidRPr="00071F91" w:rsidRDefault="00D44BFB" w:rsidP="00071F91">
      <w:pPr>
        <w:jc w:val="both"/>
        <w:rPr>
          <w:rFonts w:ascii="Times New Roman" w:hAnsi="Times New Roman" w:cs="Times New Roman"/>
        </w:rPr>
      </w:pPr>
    </w:p>
    <w:p w14:paraId="664724E2" w14:textId="358CE403" w:rsidR="00071F91" w:rsidRPr="00071F91" w:rsidRDefault="00071F91" w:rsidP="00071F91">
      <w:pPr>
        <w:ind w:left="2832" w:firstLine="708"/>
        <w:jc w:val="both"/>
        <w:rPr>
          <w:rFonts w:ascii="Times New Roman" w:hAnsi="Times New Roman" w:cs="Times New Roman"/>
        </w:rPr>
      </w:pPr>
      <w:r w:rsidRPr="00071F91">
        <w:rPr>
          <w:rFonts w:ascii="Times New Roman" w:hAnsi="Times New Roman" w:cs="Times New Roman"/>
        </w:rPr>
        <w:t xml:space="preserve">                                 </w:t>
      </w:r>
      <w:r w:rsidR="000C236E" w:rsidRPr="00071F91">
        <w:rPr>
          <w:rFonts w:ascii="Times New Roman" w:hAnsi="Times New Roman" w:cs="Times New Roman"/>
        </w:rPr>
        <w:t>Przewodniczący Rady Gminy</w:t>
      </w:r>
    </w:p>
    <w:p w14:paraId="4D5AFB2E" w14:textId="3AAFFBC9" w:rsidR="00BA2155" w:rsidRPr="00071F91" w:rsidRDefault="00071F91" w:rsidP="00071F91">
      <w:pPr>
        <w:ind w:left="2832" w:firstLine="708"/>
        <w:jc w:val="both"/>
        <w:rPr>
          <w:rFonts w:ascii="Times New Roman" w:hAnsi="Times New Roman" w:cs="Times New Roman"/>
        </w:rPr>
      </w:pPr>
      <w:r>
        <w:rPr>
          <w:rFonts w:ascii="Times New Roman" w:hAnsi="Times New Roman" w:cs="Times New Roman"/>
        </w:rPr>
        <w:lastRenderedPageBreak/>
        <w:t xml:space="preserve">                                               </w:t>
      </w:r>
    </w:p>
    <w:p w14:paraId="2D26633D" w14:textId="77777777" w:rsidR="00071F91" w:rsidRDefault="00071F91" w:rsidP="00071F91">
      <w:pPr>
        <w:ind w:left="2832" w:firstLine="708"/>
        <w:jc w:val="both"/>
        <w:rPr>
          <w:rFonts w:ascii="Times New Roman" w:hAnsi="Times New Roman" w:cs="Times New Roman"/>
        </w:rPr>
      </w:pPr>
    </w:p>
    <w:p w14:paraId="5A91AE59" w14:textId="77777777" w:rsidR="00071F91" w:rsidRDefault="00071F91" w:rsidP="00071F91">
      <w:pPr>
        <w:ind w:left="2832" w:firstLine="708"/>
        <w:jc w:val="both"/>
        <w:rPr>
          <w:rFonts w:ascii="Times New Roman" w:hAnsi="Times New Roman" w:cs="Times New Roman"/>
        </w:rPr>
      </w:pPr>
    </w:p>
    <w:p w14:paraId="526BF935" w14:textId="77777777" w:rsidR="00071F91" w:rsidRDefault="00071F91" w:rsidP="00071F91">
      <w:pPr>
        <w:ind w:left="2832" w:firstLine="708"/>
        <w:jc w:val="both"/>
        <w:rPr>
          <w:rFonts w:ascii="Times New Roman" w:hAnsi="Times New Roman" w:cs="Times New Roman"/>
        </w:rPr>
      </w:pPr>
    </w:p>
    <w:p w14:paraId="7CFB2393" w14:textId="21DA6546" w:rsidR="00BA2155" w:rsidRPr="00071F91" w:rsidRDefault="000C236E" w:rsidP="00071F91">
      <w:pPr>
        <w:ind w:left="2832" w:firstLine="708"/>
        <w:jc w:val="both"/>
        <w:rPr>
          <w:rFonts w:ascii="Times New Roman" w:hAnsi="Times New Roman" w:cs="Times New Roman"/>
        </w:rPr>
      </w:pPr>
      <w:r w:rsidRPr="00071F91">
        <w:rPr>
          <w:rFonts w:ascii="Times New Roman" w:hAnsi="Times New Roman" w:cs="Times New Roman"/>
        </w:rPr>
        <w:t xml:space="preserve">Uzasadnienie </w:t>
      </w:r>
    </w:p>
    <w:p w14:paraId="3F8F7AD5" w14:textId="554242EB" w:rsidR="00BA2155" w:rsidRPr="00071F91" w:rsidRDefault="000C236E" w:rsidP="00071F91">
      <w:pPr>
        <w:jc w:val="both"/>
        <w:rPr>
          <w:rFonts w:ascii="Times New Roman" w:hAnsi="Times New Roman" w:cs="Times New Roman"/>
        </w:rPr>
      </w:pPr>
      <w:r w:rsidRPr="00071F91">
        <w:rPr>
          <w:rFonts w:ascii="Times New Roman" w:hAnsi="Times New Roman" w:cs="Times New Roman"/>
        </w:rPr>
        <w:t xml:space="preserve">Zgodnie z art. 50 ust. 6 ustawy z dnia 12 marca 2004 r. o pomocy społecznej, Rada gminy określa, </w:t>
      </w:r>
      <w:r w:rsidR="00F62778">
        <w:rPr>
          <w:rFonts w:ascii="Times New Roman" w:hAnsi="Times New Roman" w:cs="Times New Roman"/>
        </w:rPr>
        <w:br/>
      </w:r>
      <w:r w:rsidRPr="00071F91">
        <w:rPr>
          <w:rFonts w:ascii="Times New Roman" w:hAnsi="Times New Roman" w:cs="Times New Roman"/>
        </w:rPr>
        <w:t xml:space="preserve">w drodze uchwały, szczegółowe warunki przyznawania i odpłatności za usługi opiekuńcze </w:t>
      </w:r>
      <w:r w:rsidR="00A710B6">
        <w:rPr>
          <w:rFonts w:ascii="Times New Roman" w:hAnsi="Times New Roman" w:cs="Times New Roman"/>
        </w:rPr>
        <w:br/>
      </w:r>
      <w:r w:rsidRPr="00071F91">
        <w:rPr>
          <w:rFonts w:ascii="Times New Roman" w:hAnsi="Times New Roman" w:cs="Times New Roman"/>
        </w:rPr>
        <w:t xml:space="preserve">i specjalistyczne usługi opiekuńcze, z wyłączeniem specjalistycznych usług opiekuńczych dla osób </w:t>
      </w:r>
      <w:r w:rsidR="00F62778">
        <w:rPr>
          <w:rFonts w:ascii="Times New Roman" w:hAnsi="Times New Roman" w:cs="Times New Roman"/>
        </w:rPr>
        <w:br/>
      </w:r>
      <w:r w:rsidRPr="00071F91">
        <w:rPr>
          <w:rFonts w:ascii="Times New Roman" w:hAnsi="Times New Roman" w:cs="Times New Roman"/>
        </w:rPr>
        <w:t>z zaburzeniami psychicznymi,</w:t>
      </w:r>
      <w:r w:rsidR="00E87127">
        <w:rPr>
          <w:rFonts w:ascii="Times New Roman" w:hAnsi="Times New Roman" w:cs="Times New Roman"/>
        </w:rPr>
        <w:t xml:space="preserve"> </w:t>
      </w:r>
      <w:r w:rsidRPr="00071F91">
        <w:rPr>
          <w:rFonts w:ascii="Times New Roman" w:hAnsi="Times New Roman" w:cs="Times New Roman"/>
        </w:rPr>
        <w:t xml:space="preserve">oraz szczegółowe warunki częściowego lub całkowitego zwolnienia od opłat, jak również tryb ich pobierania. Ustawą z dnia 28 lipca 2023 r. o zmianie ustawy o pomocy społecznej oraz niektórych innych ustaw (Dz. U. z 2023 r. poz. 1693), z dniem 1 listopada 2023 r. przyznano gminom możliwość organizowania usług opiekuńczych w formie usług sąsiedzkich. Obejmuje to pomoc w zaspokajaniu podstawowych potrzeb życiowych, podstawową opiekę higieniczno-pielęgnacyjną, przez którą należy rozumieć formy wsparcia niewymagające specjalistycznej wiedzy i kompetencji oraz w miarę potrzeb i możliwości, zapewnienie kontaktów z otoczeniem. Ustawa określa także wymagania, które powinny być spełnione przez osoby wykonujące usługi sąsiedzkie. Zgodnie z art. 50 ust. 6a ustawy o pomocy społecznej, w przypadku organizowania przez gminę usług opiekuńczych w formie usług sąsiedzkich rada gminy w uchwale, o której mowa w ust. 6 określa także szczegółowe warunki przyznawania usług sąsiedzkich ich wymiar i zakres oraz sposób rozliczania wykonywania takich usług. Usługi opiekuńcze, specjalistyczne usługi opiekuńcze oraz usługi sąsiedzkie są formą świadczenia pomocy na rzecz osób samotnych, które z powodu wieku, choroby lub niepełnosprawności wymagają wsparcia innych osób. Powyższa pomoc pozwala zaspokoić niezbędne potrzeby życiowe tych osób. Wprowadzenie do zadań własnych gminy możliwości organizowania i świadczenia usług opiekuńczych w formie usług sąsiedzkich jest zadaniem nowym, a więc dla przejrzystości proponowane jest podjęcie nowej uchwały. Wobec powyższego podjęcie stosownej uchwały jest uzasadnione i konieczne. </w:t>
      </w:r>
    </w:p>
    <w:p w14:paraId="7E964DBA" w14:textId="1201BAF9" w:rsidR="00A54551" w:rsidRPr="00071F91" w:rsidRDefault="00A54551" w:rsidP="00071F91">
      <w:pPr>
        <w:ind w:left="4956" w:firstLine="708"/>
        <w:jc w:val="both"/>
        <w:rPr>
          <w:rFonts w:ascii="Times New Roman" w:hAnsi="Times New Roman" w:cs="Times New Roman"/>
        </w:rPr>
      </w:pPr>
    </w:p>
    <w:sectPr w:rsidR="00A54551" w:rsidRPr="00071F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F2085" w14:textId="77777777" w:rsidR="00C43DD8" w:rsidRDefault="00C43DD8" w:rsidP="0084441D">
      <w:pPr>
        <w:spacing w:after="0" w:line="240" w:lineRule="auto"/>
      </w:pPr>
      <w:r>
        <w:separator/>
      </w:r>
    </w:p>
  </w:endnote>
  <w:endnote w:type="continuationSeparator" w:id="0">
    <w:p w14:paraId="7B072216" w14:textId="77777777" w:rsidR="00C43DD8" w:rsidRDefault="00C43DD8" w:rsidP="0084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FE9A6" w14:textId="77777777" w:rsidR="00C43DD8" w:rsidRDefault="00C43DD8" w:rsidP="0084441D">
      <w:pPr>
        <w:spacing w:after="0" w:line="240" w:lineRule="auto"/>
      </w:pPr>
      <w:r>
        <w:separator/>
      </w:r>
    </w:p>
  </w:footnote>
  <w:footnote w:type="continuationSeparator" w:id="0">
    <w:p w14:paraId="1244098F" w14:textId="77777777" w:rsidR="00C43DD8" w:rsidRDefault="00C43DD8" w:rsidP="00844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E"/>
    <w:rsid w:val="000345EB"/>
    <w:rsid w:val="00071F91"/>
    <w:rsid w:val="00074BCB"/>
    <w:rsid w:val="000A6117"/>
    <w:rsid w:val="000C236E"/>
    <w:rsid w:val="001D01F3"/>
    <w:rsid w:val="00235BE1"/>
    <w:rsid w:val="00346810"/>
    <w:rsid w:val="00353A9B"/>
    <w:rsid w:val="003C2E62"/>
    <w:rsid w:val="003D21FD"/>
    <w:rsid w:val="00415E1A"/>
    <w:rsid w:val="00536EA9"/>
    <w:rsid w:val="0055732A"/>
    <w:rsid w:val="005C799F"/>
    <w:rsid w:val="005E7C99"/>
    <w:rsid w:val="005F31A1"/>
    <w:rsid w:val="006706E9"/>
    <w:rsid w:val="00686120"/>
    <w:rsid w:val="006F1928"/>
    <w:rsid w:val="00721E69"/>
    <w:rsid w:val="00784B07"/>
    <w:rsid w:val="007E4957"/>
    <w:rsid w:val="00831852"/>
    <w:rsid w:val="0084441D"/>
    <w:rsid w:val="00852F5C"/>
    <w:rsid w:val="00902892"/>
    <w:rsid w:val="00917699"/>
    <w:rsid w:val="00932DAA"/>
    <w:rsid w:val="009364BB"/>
    <w:rsid w:val="009561A3"/>
    <w:rsid w:val="009767E5"/>
    <w:rsid w:val="00996EDC"/>
    <w:rsid w:val="009B4753"/>
    <w:rsid w:val="009C0530"/>
    <w:rsid w:val="00A257D3"/>
    <w:rsid w:val="00A34ED0"/>
    <w:rsid w:val="00A54551"/>
    <w:rsid w:val="00A710B6"/>
    <w:rsid w:val="00B02444"/>
    <w:rsid w:val="00BA04F0"/>
    <w:rsid w:val="00BA2155"/>
    <w:rsid w:val="00C43DD8"/>
    <w:rsid w:val="00C441F0"/>
    <w:rsid w:val="00C8362F"/>
    <w:rsid w:val="00CC1FCF"/>
    <w:rsid w:val="00CE1659"/>
    <w:rsid w:val="00CE4E13"/>
    <w:rsid w:val="00D44BFB"/>
    <w:rsid w:val="00DE0DD4"/>
    <w:rsid w:val="00E66993"/>
    <w:rsid w:val="00E87127"/>
    <w:rsid w:val="00ED45DE"/>
    <w:rsid w:val="00F35CE2"/>
    <w:rsid w:val="00F62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07AF"/>
  <w15:docId w15:val="{13A1C743-87F2-40CA-9B72-B337F0A4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B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444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41D"/>
    <w:rPr>
      <w:sz w:val="20"/>
      <w:szCs w:val="20"/>
    </w:rPr>
  </w:style>
  <w:style w:type="character" w:styleId="Odwoanieprzypisukocowego">
    <w:name w:val="endnote reference"/>
    <w:basedOn w:val="Domylnaczcionkaakapitu"/>
    <w:uiPriority w:val="99"/>
    <w:semiHidden/>
    <w:unhideWhenUsed/>
    <w:rsid w:val="0084441D"/>
    <w:rPr>
      <w:vertAlign w:val="superscript"/>
    </w:rPr>
  </w:style>
  <w:style w:type="character" w:customStyle="1" w:styleId="size">
    <w:name w:val="size"/>
    <w:basedOn w:val="Domylnaczcionkaakapitu"/>
    <w:rsid w:val="0007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1059</Words>
  <Characters>6359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Nowak</dc:creator>
  <cp:keywords/>
  <dc:description/>
  <cp:lastModifiedBy>marysia437@wp.pl</cp:lastModifiedBy>
  <cp:revision>10</cp:revision>
  <cp:lastPrinted>2024-09-03T10:38:00Z</cp:lastPrinted>
  <dcterms:created xsi:type="dcterms:W3CDTF">2024-08-29T10:52:00Z</dcterms:created>
  <dcterms:modified xsi:type="dcterms:W3CDTF">2024-09-12T12:07:00Z</dcterms:modified>
</cp:coreProperties>
</file>